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C7B" w:rsidRPr="00C6111B" w:rsidRDefault="00135C7B" w:rsidP="00135C7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О порядке осмотра счетчиков электроэнергии</w:t>
      </w:r>
    </w:p>
    <w:p w:rsidR="00135C7B" w:rsidRPr="00C6111B" w:rsidRDefault="00135C7B" w:rsidP="00135C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 xml:space="preserve">В соответствии с ч. 1 ст. 539 Гражданского кодекса РФ по договору энергоснабжения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энергоснабжающая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организация обязуется подавать абоненту (потребителю) через присоединенную сеть энергию, а абонент обязуется оплачивать принятую энергию, а также соблюдать предусмотренный договором режим ее потребления, обеспечивать безопасность эксплуатации находящихся в его ведении энергетических сетей и исправность используемых им приборов и оборудования, связанных с потреблением энергии.</w:t>
      </w:r>
      <w:proofErr w:type="gramEnd"/>
    </w:p>
    <w:p w:rsidR="00135C7B" w:rsidRPr="00C6111B" w:rsidRDefault="00135C7B" w:rsidP="00135C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 xml:space="preserve">В соответствии с абзацем 2 п. 172 Основных положений функционирования розничных рынков электрической энергии, утвержденных Постановлением Правительства Российской Федерации от 04 мая 2012 года № 442 (далее - Основные положения), проверки расчетных приборов учета включают, в том числе, визуальный осмотр схемы подключения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устройств и схем соединения приборов учета, проверку состояния прибора учета, наличия и сохранности контрольных пломб и знаков визуального контроля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>, а также снятие показаний приборов учета.</w:t>
      </w:r>
    </w:p>
    <w:p w:rsidR="00135C7B" w:rsidRPr="00C6111B" w:rsidRDefault="00135C7B" w:rsidP="00135C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Согласно пункту 176 Основных положений результаты проверки приборов учета сетевая организация оформляет актом проверки расчетных приборов учета, который подписывается сетевой организацией и лицами, принимавшими участие в проверке. При отказе лица, принимавшего участие в проверке, от подписания акта, в нем указывается причина такого отказа. </w:t>
      </w:r>
      <w:proofErr w:type="gramStart"/>
      <w:r w:rsidRPr="00C6111B">
        <w:rPr>
          <w:rFonts w:ascii="Times New Roman" w:hAnsi="Times New Roman" w:cs="Times New Roman"/>
          <w:sz w:val="28"/>
          <w:szCs w:val="28"/>
        </w:rPr>
        <w:t xml:space="preserve">Результатом проверки является заключение о пригодности расчетного прибора учета для осуществления расчетов за потребленную (на розничных рынках электрическую энергию, о соответствии (несоответствии) расчетного прибора учета требованиям, предъявляемым к такому прибору учета, а также о наличии (об отсутствии)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безучетного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потребления или о признании расчетного прибора учета утраченным.</w:t>
      </w:r>
      <w:proofErr w:type="gramEnd"/>
    </w:p>
    <w:p w:rsidR="00135C7B" w:rsidRPr="00C6111B" w:rsidRDefault="00135C7B" w:rsidP="00135C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Пунктом 177 Основных положений предусмотрена обязанность сетевой организации за 5 рабочих дней до планируемой даты проведения проверки уведомить потребителя о дате и времени проведения такой проверки, а также о последствиях ее не допуска к расчетным приборам учета.</w:t>
      </w:r>
    </w:p>
    <w:p w:rsidR="00135C7B" w:rsidRPr="00C6111B" w:rsidRDefault="00135C7B" w:rsidP="00135C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По смыслу пункта 177 Основных положений уведомление потребителя необходимо для обеспечения доступа представителей гарантирующего поставщика и сетевой организации к приборам учета потребителя либо схеме учета потребителя.</w:t>
      </w:r>
    </w:p>
    <w:p w:rsidR="00135C7B" w:rsidRPr="00C6111B" w:rsidRDefault="00135C7B" w:rsidP="00135C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Таким образом, в отсутствие вышеназванного уведомления сотрудники электросетей могут пройти в домовладение для проверки прибора учета только согласия пользователя жилого помещения.</w:t>
      </w:r>
    </w:p>
    <w:p w:rsidR="00135C7B" w:rsidRPr="00C6111B" w:rsidRDefault="00135C7B" w:rsidP="00135C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lastRenderedPageBreak/>
        <w:t xml:space="preserve">В случае двукратного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недопуска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потребителем работника сетевой организации к расчетным приборам учета в согласованные дату и время, расчет, расчет электроэнергии производится по специальным правилам, исходя из почасовых нормативов</w:t>
      </w:r>
    </w:p>
    <w:p w:rsidR="007B6205" w:rsidRDefault="007B6205">
      <w:bookmarkStart w:id="0" w:name="_GoBack"/>
      <w:bookmarkEnd w:id="0"/>
    </w:p>
    <w:sectPr w:rsidR="007B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C7B"/>
    <w:rsid w:val="00135C7B"/>
    <w:rsid w:val="007B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2019-06-26T13:45:00Z</dcterms:created>
  <dcterms:modified xsi:type="dcterms:W3CDTF">2019-06-26T13:45:00Z</dcterms:modified>
</cp:coreProperties>
</file>