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Ответственность за нелегальные пассажирские перевозки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Вопросы организации пассажирских перевозок на территории муниципального образования относятся к полномочиям органов местного самоуправления.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Законность осуществления пассажирских перевозок на территории муниципального образования подтверждается наличием маршрута, по которому осуществляются пассажирские перевозки, в реестре маршрутов, размещаемом на официальном сайте уполномоченного органа местного самоуправления в информационно-телекоммуникационной сети «Интернет», наличием муниципального контракта, карты маршрута регулярных перевозок, если перевозки осуществляются по регулируемым тарифам (перевозки, осуществляемые с применением тарифов, установленных органами местного самоуправления) и свидетельства и карты маршрута регулярных перевозок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>, если перевозки осуществляются по нерегулируемым тарифам (перевозки, осуществляемые с применением тарифов, установленных перевозчиком).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Нелегальные перевозки не обеспечивают безопасность пассажиров, так как водители не соблюдают режим труда и отдыха (на транспортных средствах могут быть не установлены либо выключены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тахографы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), отсутствуют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предрейсовые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послерейсовые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медицинские осмотры водителей, не проводится регулярная проверка технического состояния транспортных средств и не обеспечивается страхование гражданской ответственности владельцев транспортных средств.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Осуществление пассажирских перевозок в отсутствие карты маршрута влечет за собой в соответствии с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.4 ст. 11.33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РФ наложение административного штрафа на водителя в размере пяти тысяч рублей; на должностных лиц - тридцати тысяч рублей; на юридических лиц - трехсот тысяч рублей.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Нарушение установленного порядка проведения обязательного медицинского освидетельствования водителей транспортных средств, либо обязательных предварительных, периодических,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послерейсовых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медицинских осмотров в соответствии со ст. 11.32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РФ влечет наложение административного штрафа на граждан в размере от одной тысячи до полутора тысяч рублей; на должностных лиц - от двух тысяч до трех тысяч рублей;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на юридических лиц - от тридцати тысяч до пятидесяти тысяч рублей.</w:t>
      </w:r>
    </w:p>
    <w:p w:rsidR="00000000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Управление автобусом, не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прошедшем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технический осмотр, влечет наложение административного штрафа в размере от пятисот до восьмисот рублей (ч.2 ст. 12.1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РФ).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 здравоохранении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lastRenderedPageBreak/>
        <w:t>В соответствии со ст. 41 Конституции РФ, ст. 18 Федерального закона от 21.11.2011 № 323-ФЗ «Об основах охраны здоровья граждан в Российской Федерации» каждый имеет право на охрану здоровья, что подразумевает под собой реализацию доступных лекарственных препаратов, а также оказание доступной и качественной медицинской помощи.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Пациент имеет право на облегчение боли, связанной с доступными методами и лекарственными препаратами.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При оказании в рамках программы государственных гарантий бесплатного оказания гражданам медицинской помощи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, включенными в перечень жизненно необходимых и важнейших лекарственных препаратов и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человека. 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Вместе с тем, в медицинских учреждениях, в том числе Пермского края, распространена практика покупки лекарственных средств пациентами, находящимися на стационарном лечении, в целях своего лечения за собственные средства, что является недопустимым, так как лекарственное обеспечение при лечении в стационарных условиях - обязанность медицинской организации.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В случае приобретения того или иного лекарственного препарата за свой счет, и при отсутствии его в момент лечения в медицинской организации, прокуратура района разъясняет, что граждане имеют право обратиться в суд с требованиями о взыскании расходов на приобретение лекарственных средств, а также рекомендует обратиться в органы прокуратуры для проведения соответствующей проверки.</w:t>
      </w:r>
      <w:proofErr w:type="gramEnd"/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Кроме того, в силу положений вышеназванного Федерального закона № 323-ФЗ определенным группам населения, а также гражданам с определенными категориями заболеваний, перечень которых утвержден Постановлением Правительства РФ от 30.07.1994 № 890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назначения», лекарственные средства и изделия медицинского назначения при амбулаторном лечении отпускаются по рецептам врачей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бесплатно (например, участникам гражданской и Великой Отечественной войн; героям Советского Союза, Российской Федерации; ветеранам боевых действий на территориях других государств; </w:t>
      </w:r>
      <w:r w:rsidRPr="00C6111B">
        <w:rPr>
          <w:rFonts w:ascii="Times New Roman" w:hAnsi="Times New Roman" w:cs="Times New Roman"/>
          <w:sz w:val="28"/>
          <w:szCs w:val="28"/>
        </w:rPr>
        <w:lastRenderedPageBreak/>
        <w:t xml:space="preserve">детям первых трех лет жизни, а также детям из многодетных семей в возрасте до 6 лет; инвалидам I группы, неработающим инвалидам II группы, детям - инвалидам в возрасте до 18 лет;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гражданам, подвергшимся воздействию радиации вследствие чернобыльской катастрофы; гражданам с заболеваниями - детский церебральный паралич, СПИД, ВИЧ, онкологическими заболеваниями, туберкулезом, бронхиальной астмой, диабетом, шизофренией и эпилепсией) или с пятидесятипроцентной скидкой (пенсионерам, получающим пенсию по старости, инвалидности или по случаю потери кормильца в минимальных размерах; работающим инвалидам II группы, инвалидам III группы, признанным в установленном порядке безработными).</w:t>
      </w:r>
      <w:proofErr w:type="gramEnd"/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 порядке осмотра счетчиков электроэнергии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В соответствии с ч. 1 ст. 539 Гражданского кодекса РФ по договору энергоснабжения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энергоснабжающая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организация обязуется подавать абоненту (потребителю) через присоединенную сеть энергию, а абонент обязуется оплачивать принятую энергию, а также соблюдать предусмотренный договором режим ее потребления, обеспечивать безопасность эксплуатации находящихся в его ведении энергетических сетей и исправность используемых им приборов и оборудования, связанных с потреблением энергии.</w:t>
      </w:r>
      <w:proofErr w:type="gramEnd"/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В соответствии с абзацем 2 п. 172 Основных положений функционирования розничных рынков электрической энергии, утвержденных Постановлением Правительства Российской Федерации от 04 мая 2012 года № 442 (далее - Основные положения), проверки расчетных приборов учета включают, в том числе, визуальный осмотр схемы подключения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устройств и схем соединения приборов учета, проверку состояния прибора учета, наличия и сохранности контрольных пломб и знаков визуального контроля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>, а также снятие показаний приборов учета.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Согласно пункту 176 Основных положений результаты проверки приборов учета сетевая организация оформляет актом проверки расчетных приборов учета, который подписывается сетевой организацией и лицами, принимавшими участие в проверке. При отказе лица, принимавшего участие в проверке, от подписания акта, в нем указывается причина такого отказа. 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Результатом проверки является заключение о пригодности расчетного прибора учета для осуществления расчетов за потребленную (на розничных рынках электрическую энергию, о соответствии (несоответствии) расчетного прибора учета требованиям, предъявляемым к такому прибору учета, а также о наличии (об отсутствии)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безучетного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потребления или о признании расчетного прибора учета утраченным.</w:t>
      </w:r>
      <w:proofErr w:type="gramEnd"/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lastRenderedPageBreak/>
        <w:t>Пунктом 177 Основных положений предусмотрена обязанность сетевой организации за 5 рабочих дней до планируемой даты проведения проверки уведомить потребителя о дате и времени проведения такой проверки, а также о последствиях ее не допуска к расчетным приборам учета.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По смыслу пункта 177 Основных положений уведомление потребителя необходимо для обеспечения доступа представителей гарантирующего поставщика и сетевой организации к приборам учета потребителя либо схеме учета потребителя.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Таким образом, в отсутствие вышеназванного уведомления сотрудники электросетей могут пройти в домовладение для проверки прибора учета только согласия пользователя жилого помещения.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В случае двукратного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недопуска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потребителем работника сетевой организации к расчетным приборам учета в согласованные дату и время, расчет, расчет электроэнергии производится по специальным правилам, исходя из почасовых нормативов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Об уголовной ответственности за жестокое обращение с детьми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 по воспитанию несовершеннолетнего, если это деяние соединено с жестоким обращением с детьми установлена уголовная ответственность (ст. 156 Уголовного кодекса Российской Федерации) и несут ее родители и лица, на которых возложены обязанности по воспитанию, в том числе педагоги и другие работники образовательной, медицинской организации, оказывающей социальные услуги, либо иной организации, осуществляющей надзор за ними.</w:t>
      </w:r>
      <w:proofErr w:type="gramEnd"/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Под неисполнением обязанностей по воспитанию несовершеннолетнего понимается систематическое, осуществляемое в течение продолжительного времени бездействие, выражающееся в игнорировании всех либо большинства обязанностей по воспитанию несовершеннолетнего, уклонении от выполнения этих обязанностей, не проявлении внимания к физическому, психическому и нравственному развитию несовершеннолетнего, безразличное, пренебрежительное отношение к его потребностям, интересам, здоровью, безопасности, учебе, досугу, занятиям, времяпрепровождению.</w:t>
      </w:r>
      <w:proofErr w:type="gramEnd"/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 xml:space="preserve">Жестокое обращение с детьми может проявляться не только в осуществлении физического или психического насилия над ними либо в покушении на их половую неприкосновенность и половую свободу несовершеннолетнего, но и в применении недопустимых способов воспитания (в грубом, пренебрежительном, безнравственном, унижающем </w:t>
      </w:r>
      <w:r w:rsidRPr="00C6111B">
        <w:rPr>
          <w:rFonts w:ascii="Times New Roman" w:hAnsi="Times New Roman" w:cs="Times New Roman"/>
          <w:sz w:val="28"/>
          <w:szCs w:val="28"/>
        </w:rPr>
        <w:lastRenderedPageBreak/>
        <w:t>человеческое достоинство обращении с детьми, оскорблении или эксплуатации детей).</w:t>
      </w:r>
      <w:proofErr w:type="gramEnd"/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Судебная практика свидетельствует о том, что наиболее часто результатом жестокого обращения с детьми является причинение им телесных повреждений.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Максимальное наказание за такие деяния предусмотрено в виде лишения свободы на срок до 3 лет с лишением права занимать определенные должности или заниматься определенной деятельностью на срок до 5 лет или без такового.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Собственники земельных участков обязаны соблюдать пожарную безопасность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В соответствии со статьей 42 Земельного кодекса Российской Федерации собственники земельных участков и лица, не являющиеся собственниками земельных участков, обязаны осуществлять мероприятия по охране земель, лесов, водных объектов и других природных ресурсов, в том числе меры пожарной безопасности.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С 1 января 2019 года в постановление Правительства Российской Федерации от 25.05.2012 № 390 «О противопожарном режиме» внесены изменения, согласно которым в целях обеспечения пожарной безопасности правообладатели земельных участков, расположенных в границах населенных пунктов, территории садоводства или огородничества, обязаны производить регулярную уборку мусора и покос травы.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За нарушение требований пожарной безопасности статьей 20.4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РФ предусмотрена административная ответственность. Для граждан в размере от 2000 до 3000 руб., на должностных лиц от 6000 до 15000 руб.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Средства материнского капитала запретили использовать для покупки недвижимости непригодной для проживания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Федеральным законом от 18.03.2019 № 37-ФЗ внесены изменения в Федеральный закон от 29.12.2006 № 256-ФЗ «О дополнительных мерах государственной поддержки семей, имеющих детей» (далее - Закон).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Средства материнского капитала запретили использовать для покупки объектов недвижимости, признанных непригодными для проживания.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То же касается помещений в многоквартирных домах, признанных аварийными и подлежащими сносу или реконструкции.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lastRenderedPageBreak/>
        <w:t>Обязанность установления данного факта возложена частью 1.3, которой дополнена статьи 8 Закона, на Пенсионный фонд Российской Федерации и его территориальные органы.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При получении подтверждающей информации в удовлетворении заявления о распоряжении средствами материнского капитала может быть отказано.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Перечень организаций, в которых можно брать ипотеку с погашением средствами материнского капитала, сделали закрытым, внеся изменения в пункт 4 части 7 статьи 10 Закона. Теперь договор займа можно заключить только с банками, кредитным потребительским кооперативом или сельскохозяйственным кредитным потребительским кооперативом, действующими на основании соответствующих законов не менее трех лет с момента государственной регистрации и с АО «ДОМ</w:t>
      </w:r>
      <w:proofErr w:type="gramStart"/>
      <w:r w:rsidRPr="00C611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>Ф» (ранее ОАО «Агентство по ипотечному жилищному кредитованию»).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Изменения не касаются заявлений о распоряжении материнским капиталом, поданных до вступления поправок в силу.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Федеральный закон вступил в силу с 29.03.2019.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С 1 июня отменен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внутрироссийский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роуминг при использовании услуг мобильной связи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1 июня 2019 года вступил в силу Федеральный закон от 27.12.2018      № 527-ФЗ «О внесении изменений в статьи 46 и 54 Федерального закона «О связи».</w:t>
      </w:r>
    </w:p>
    <w:p w:rsidR="006714E1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BCE" w:rsidRPr="00C6111B" w:rsidRDefault="006714E1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В соответствии с внесенными изменениями на территории Российской Федерации оператор подвижной радиотелефонной связи в своей сети связи устанавливает одинаковые условия оказания услуг подвижной радиотелефонной связи каждому абоненту независимо от того, находится ли абонент в пределах территории субъекта Российской Федерации, указанной в решении о выделении такому оператору связи ресурса нумерации, включающего в себя выделенный абоненту абонентский номер, или за пределами указанной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территории.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lastRenderedPageBreak/>
        <w:t>Усилена ответственность за нарушение правил охраны водных объектов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Федеральным законом от 15.04.2019 № 57-ФЗ внесены изменения в Кодекс Российской Федерации об административных правонарушениях.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Усилена административная ответственность за административные правонарушения, предусмотренные частями 1, 3–5 статьи 8.13 (нарушение правил охраны водных объектов), частью 2 статьи 8.14 (нарушение правил водопользования при добыче полезных ископаемых, торфа, сапропеля на водных объектах, а равно при возведении и эксплуатации подводных и надводных сооружений, при осуществлении рыболовства, судоходства, прокладке и эксплуатации нефтепроводов и других продуктопроводов, проведении дноуглубительных, взрывных и иных работ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либо при строительстве или эксплуатации дамб, портовых и иных сооружений), а также статьёй 8.15 (нарушение правил эксплуатации водохозяйственных или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сооружений и устройств) Кодекса Российской Федерации об административных правонарушениях.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В соответствии с документом, за нарушение </w:t>
      </w:r>
      <w:proofErr w:type="spellStart"/>
      <w:r w:rsidRPr="00C6111B">
        <w:rPr>
          <w:rFonts w:ascii="Times New Roman" w:hAnsi="Times New Roman" w:cs="Times New Roman"/>
          <w:sz w:val="28"/>
          <w:szCs w:val="28"/>
        </w:rPr>
        <w:t>водоохранного</w:t>
      </w:r>
      <w:proofErr w:type="spellEnd"/>
      <w:r w:rsidRPr="00C6111B">
        <w:rPr>
          <w:rFonts w:ascii="Times New Roman" w:hAnsi="Times New Roman" w:cs="Times New Roman"/>
          <w:sz w:val="28"/>
          <w:szCs w:val="28"/>
        </w:rPr>
        <w:t xml:space="preserve"> режима на водосборах водных объектов, которое может повлечь их загрязнение или другие вредные явления, должностных лиц будут штрафовать на сумму от 10 тысяч до 20 тысяч рублей, юридических лиц – на сумму от 80 тысяч до 100 тысяч рублей.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За нарушение требований к охране водных объектов, которое может повлечь их загрязнение, засорение и (или) истощение, должностных лиц станут наказывать штрафом в размере от 40 тысяч до 50 тысяч рублей, юридических лиц – в размере от 100 тысяч до 150 тысяч рублей.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Изменения вступили в силу 26 апреля 2019 года.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 налоговых льготах многодетным семьям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 xml:space="preserve">Федеральным законом от 15 апреля 2019 года № 63-ФЗ «О внесении изменений в часть вторую Налогового кодекса РФ и статью 9 Федерального закона «О внесении изменений в части первую и вторую Налогового кодекса РФ и отдельные законодательные акты Российской Федерации о налогах и сборах» предусмотрено предоставление дополнительных налоговых льгот многодетным семьям. При наличии сведений о количестве детей налогоплательщика инспекция самостоятельно предоставит вышеуказанным физическим лицам льготы по налогу на имущество и земельному налогу. Однако целесообразно обратиться в налоговый орган с заявлением о предоставлении льготы до начала формирования налоговых уведомлений за 2018 год. Следует напомнить, что закон уточняет исчисление налога на </w:t>
      </w:r>
      <w:r w:rsidRPr="00C6111B">
        <w:rPr>
          <w:rFonts w:ascii="Times New Roman" w:hAnsi="Times New Roman" w:cs="Times New Roman"/>
          <w:sz w:val="28"/>
          <w:szCs w:val="28"/>
        </w:rPr>
        <w:lastRenderedPageBreak/>
        <w:t>имущество физических лиц в случае разрушения объекта, транспортного налога в случае угона автомобиля.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Юридические лица перестанут предоставлять декларации по земельному и транспортному налогу. По налогу на имущество организаций можно будет представить одну декларацию, если налогоплательщик состоит на учете в нескольких инспекциях по месту нахождения принадлежащих объектов недвижимости.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Кроме того, индивидуальные предприниматели и лица, занимающиеся частной практики, вместо подачи декларации о предполагаемом доходе по форме 4-НДФЛ с 2020 года будут уплачивать авансовые платежи.</w:t>
      </w:r>
    </w:p>
    <w:p w:rsidR="007A1BCE" w:rsidRPr="00C6111B" w:rsidRDefault="007A1BCE" w:rsidP="00C6111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Указанные изменения вступили в силу, за исключением некоторых положений, для которых установлены отдельные сроки.</w:t>
      </w:r>
    </w:p>
    <w:sectPr w:rsidR="007A1BCE" w:rsidRPr="00C6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714E1"/>
    <w:rsid w:val="006714E1"/>
    <w:rsid w:val="007A1BCE"/>
    <w:rsid w:val="00C6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95200">
              <w:marLeft w:val="0"/>
              <w:marRight w:val="0"/>
              <w:marTop w:val="6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0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Konoreva</dc:creator>
  <cp:keywords/>
  <dc:description/>
  <cp:lastModifiedBy>Elena Konoreva</cp:lastModifiedBy>
  <cp:revision>2</cp:revision>
  <dcterms:created xsi:type="dcterms:W3CDTF">2019-06-17T03:39:00Z</dcterms:created>
  <dcterms:modified xsi:type="dcterms:W3CDTF">2019-06-17T04:03:00Z</dcterms:modified>
</cp:coreProperties>
</file>